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C6" w:rsidRDefault="00BD0FC6" w:rsidP="00D11345">
      <w:pPr>
        <w:keepNext/>
        <w:jc w:val="both"/>
        <w:outlineLvl w:val="4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OGGETTO: </w:t>
      </w:r>
      <w:r w:rsidR="00D11345">
        <w:rPr>
          <w:rFonts w:ascii="Century Gothic" w:hAnsi="Century Gothic" w:cs="Arial"/>
          <w:b/>
          <w:sz w:val="22"/>
          <w:szCs w:val="22"/>
        </w:rPr>
        <w:t>CREAZIONE DELLA RETE “PARCHI GIOCHI INCLUSIVI” – APPROVAZIONE PROTOCOLLO D’INTESA.</w:t>
      </w:r>
    </w:p>
    <w:p w:rsidR="00BD0FC6" w:rsidRDefault="00BD0FC6" w:rsidP="00BD0FC6">
      <w:pPr>
        <w:keepNext/>
        <w:outlineLvl w:val="4"/>
        <w:rPr>
          <w:rFonts w:ascii="Century Gothic" w:hAnsi="Century Gothic" w:cs="Arial"/>
          <w:b/>
          <w:sz w:val="22"/>
          <w:szCs w:val="22"/>
        </w:rPr>
      </w:pPr>
    </w:p>
    <w:p w:rsidR="00BD0FC6" w:rsidRDefault="00BD0FC6" w:rsidP="00BD0FC6">
      <w:pPr>
        <w:keepNext/>
        <w:jc w:val="center"/>
        <w:outlineLvl w:val="4"/>
        <w:rPr>
          <w:rFonts w:ascii="Century Gothic" w:hAnsi="Century Gothic" w:cs="Arial"/>
          <w:b/>
          <w:sz w:val="22"/>
          <w:szCs w:val="22"/>
        </w:rPr>
      </w:pPr>
    </w:p>
    <w:p w:rsidR="00BD0FC6" w:rsidRPr="00BD0FC6" w:rsidRDefault="00BD0FC6" w:rsidP="00BD0FC6">
      <w:pPr>
        <w:keepNext/>
        <w:jc w:val="center"/>
        <w:outlineLvl w:val="4"/>
        <w:rPr>
          <w:rFonts w:ascii="Century Gothic" w:hAnsi="Century Gothic" w:cs="Arial"/>
          <w:b/>
          <w:szCs w:val="22"/>
        </w:rPr>
      </w:pPr>
      <w:r w:rsidRPr="00BD0FC6">
        <w:rPr>
          <w:rFonts w:ascii="Century Gothic" w:hAnsi="Century Gothic" w:cs="Arial"/>
          <w:b/>
          <w:szCs w:val="22"/>
        </w:rPr>
        <w:t>LA GIUNTA COMUNALE</w:t>
      </w:r>
    </w:p>
    <w:p w:rsidR="00BD0FC6" w:rsidRPr="007579AF" w:rsidRDefault="00BD0FC6" w:rsidP="00BD0FC6">
      <w:pPr>
        <w:rPr>
          <w:rFonts w:ascii="Century Gothic" w:hAnsi="Century Gothic" w:cs="Arial"/>
          <w:sz w:val="22"/>
          <w:szCs w:val="22"/>
        </w:rPr>
      </w:pPr>
    </w:p>
    <w:p w:rsidR="00BD0FC6" w:rsidRPr="007579AF" w:rsidRDefault="00BD0FC6" w:rsidP="00BD0FC6">
      <w:pPr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PREMESSO</w:t>
      </w:r>
      <w:r w:rsidR="000165AF">
        <w:rPr>
          <w:rFonts w:ascii="Century Gothic" w:hAnsi="Century Gothic" w:cs="Arial"/>
          <w:b/>
          <w:bCs/>
          <w:sz w:val="22"/>
          <w:szCs w:val="22"/>
        </w:rPr>
        <w:t xml:space="preserve"> CHE:</w:t>
      </w:r>
    </w:p>
    <w:p w:rsidR="000165AF" w:rsidRDefault="000165AF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0165AF" w:rsidRPr="000165AF" w:rsidRDefault="000165AF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0165AF">
        <w:rPr>
          <w:rFonts w:ascii="Century Gothic" w:hAnsi="Century Gothic" w:cs="Arial"/>
          <w:bCs/>
          <w:sz w:val="22"/>
          <w:szCs w:val="22"/>
        </w:rPr>
        <w:t>- la Convenzione sui diritti delle persone con disabilità, adottata il 13 dicembre 2006 durante la sessantunesima sessione dell’Assemblea Generale delle Nazioni Unite con la risoluzione A/RES/61/106, ha riaffermato l’universalità, l’indivisibilità, l’interdipendenza e interrelazione di tutti i diritti umani e delle libertà fondamentali e la necessità da parte delle persone con disabilità di essere garantite nel loro pieno godimento senza discriminazioni;</w:t>
      </w:r>
    </w:p>
    <w:p w:rsidR="000165AF" w:rsidRPr="000165AF" w:rsidRDefault="000165AF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0165AF" w:rsidRPr="000165AF" w:rsidRDefault="000165AF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0165AF">
        <w:rPr>
          <w:rFonts w:ascii="Century Gothic" w:hAnsi="Century Gothic" w:cs="Arial"/>
          <w:bCs/>
          <w:sz w:val="22"/>
          <w:szCs w:val="22"/>
        </w:rPr>
        <w:t>- nella predetta Convenzione, si afferma –tra l’altro- che:</w:t>
      </w:r>
    </w:p>
    <w:p w:rsidR="000165AF" w:rsidRPr="000165AF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bookmarkStart w:id="0" w:name="_Hlk66182252"/>
      <w:r>
        <w:rPr>
          <w:rFonts w:ascii="Century Gothic" w:hAnsi="Century Gothic" w:cs="Arial"/>
          <w:bCs/>
          <w:sz w:val="22"/>
          <w:szCs w:val="22"/>
        </w:rPr>
        <w:t>•</w:t>
      </w:r>
      <w:bookmarkEnd w:id="0"/>
      <w:r w:rsidR="000165AF" w:rsidRPr="000165AF">
        <w:rPr>
          <w:rFonts w:ascii="Century Gothic" w:hAnsi="Century Gothic" w:cs="Arial"/>
          <w:bCs/>
          <w:sz w:val="22"/>
          <w:szCs w:val="22"/>
        </w:rPr>
        <w:tab/>
        <w:t>… la disabilità è un concetto in evoluzione e che la disabilità è il risultato dell’interazione tra persone con minorazioni e barriere attitudinali ed ambientali, che impedisce la loro piena ed efficace partecipazione nella società su una base di parità con gli altri;</w:t>
      </w:r>
    </w:p>
    <w:p w:rsidR="000165AF" w:rsidRPr="000165AF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•</w:t>
      </w:r>
      <w:r w:rsidR="000165AF" w:rsidRPr="000165AF">
        <w:rPr>
          <w:rFonts w:ascii="Century Gothic" w:hAnsi="Century Gothic" w:cs="Arial"/>
          <w:bCs/>
          <w:sz w:val="22"/>
          <w:szCs w:val="22"/>
        </w:rPr>
        <w:tab/>
        <w:t>… l’importanza dei principi e delle linee guida politiche contenute nel Programma Mondiale di Azione riguardante le persone con disabilità e nelle Regole Standard per la Parità di Opportunità per le Persone con Disabilità nell’influenzare la promozione, la formulazione e la valutazione delle politiche, dei piani, dei programmi e delle azioni a livello nazionale, regionale ed internazionale al fine di parificare ulteriormente le opportunità per le persone con disabilità;</w:t>
      </w:r>
    </w:p>
    <w:p w:rsidR="000165AF" w:rsidRPr="000165AF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•</w:t>
      </w:r>
      <w:r w:rsidR="000165AF" w:rsidRPr="000165AF">
        <w:rPr>
          <w:rFonts w:ascii="Century Gothic" w:hAnsi="Century Gothic" w:cs="Arial"/>
          <w:bCs/>
          <w:sz w:val="22"/>
          <w:szCs w:val="22"/>
        </w:rPr>
        <w:tab/>
        <w:t xml:space="preserve">… l’importanza di includere nelle politiche ordinarie i temi della disabilità come parte </w:t>
      </w:r>
      <w:proofErr w:type="spellStart"/>
      <w:r w:rsidR="000165AF" w:rsidRPr="000165AF">
        <w:rPr>
          <w:rFonts w:ascii="Century Gothic" w:hAnsi="Century Gothic" w:cs="Arial"/>
          <w:bCs/>
          <w:sz w:val="22"/>
          <w:szCs w:val="22"/>
        </w:rPr>
        <w:t>integrale</w:t>
      </w:r>
      <w:proofErr w:type="spellEnd"/>
      <w:r w:rsidR="000165AF" w:rsidRPr="000165AF">
        <w:rPr>
          <w:rFonts w:ascii="Century Gothic" w:hAnsi="Century Gothic" w:cs="Arial"/>
          <w:bCs/>
          <w:sz w:val="22"/>
          <w:szCs w:val="22"/>
        </w:rPr>
        <w:t xml:space="preserve"> delle strategie pertinenti dello sviluppo sostenibile;</w:t>
      </w:r>
    </w:p>
    <w:p w:rsidR="000165AF" w:rsidRPr="000165AF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•</w:t>
      </w:r>
      <w:r w:rsidR="000165AF" w:rsidRPr="000165AF">
        <w:rPr>
          <w:rFonts w:ascii="Century Gothic" w:hAnsi="Century Gothic" w:cs="Arial"/>
          <w:bCs/>
          <w:sz w:val="22"/>
          <w:szCs w:val="22"/>
        </w:rPr>
        <w:tab/>
        <w:t>… la discriminazione contro qualsiasi persona sulla base della disabilità costituisce una violazione della dignità inerente e del valore della persona umana;</w:t>
      </w:r>
    </w:p>
    <w:p w:rsidR="000165AF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•</w:t>
      </w:r>
      <w:r w:rsidR="000165AF" w:rsidRPr="000165AF">
        <w:rPr>
          <w:rFonts w:ascii="Century Gothic" w:hAnsi="Century Gothic" w:cs="Arial"/>
          <w:bCs/>
          <w:sz w:val="22"/>
          <w:szCs w:val="22"/>
        </w:rPr>
        <w:tab/>
        <w:t>… la diversità delle persone con disabilità;</w:t>
      </w:r>
    </w:p>
    <w:p w:rsidR="00D11345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D11345" w:rsidRPr="00D11345" w:rsidRDefault="00D11345" w:rsidP="000165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11345">
        <w:rPr>
          <w:rFonts w:ascii="Century Gothic" w:hAnsi="Century Gothic" w:cs="Arial"/>
          <w:b/>
          <w:bCs/>
          <w:sz w:val="22"/>
          <w:szCs w:val="22"/>
        </w:rPr>
        <w:t>EVIDENZIATO:</w:t>
      </w:r>
    </w:p>
    <w:p w:rsidR="00BD0FC6" w:rsidRPr="000165AF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BC45F2">
        <w:rPr>
          <w:rFonts w:ascii="Century Gothic" w:hAnsi="Century Gothic" w:cs="Arial"/>
          <w:bCs/>
          <w:sz w:val="22"/>
          <w:szCs w:val="22"/>
        </w:rPr>
        <w:t>-</w:t>
      </w:r>
      <w:r>
        <w:rPr>
          <w:rFonts w:ascii="Century Gothic" w:hAnsi="Century Gothic" w:cs="Arial"/>
          <w:bCs/>
          <w:sz w:val="22"/>
          <w:szCs w:val="22"/>
        </w:rPr>
        <w:t xml:space="preserve"> che nei </w:t>
      </w:r>
      <w:r w:rsidRPr="00BC45F2">
        <w:rPr>
          <w:rFonts w:ascii="Century Gothic" w:hAnsi="Century Gothic" w:cs="Arial"/>
          <w:bCs/>
          <w:sz w:val="22"/>
          <w:szCs w:val="22"/>
        </w:rPr>
        <w:t>bambini e ragazzi con disabilità il gioco rappresenta uno dei modi privilegiati per esplorare il mondo esterno e quello delle relazioni interpersonali, per sviluppare abilità motorie e cognitive, per sperimentare ruoli, per agire la propria creatività;</w:t>
      </w:r>
    </w:p>
    <w:p w:rsidR="00BD0FC6" w:rsidRPr="00BC45F2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-che n</w:t>
      </w:r>
      <w:r w:rsidRPr="00BC45F2">
        <w:rPr>
          <w:rFonts w:ascii="Century Gothic" w:hAnsi="Century Gothic" w:cs="Arial"/>
          <w:bCs/>
          <w:sz w:val="22"/>
          <w:szCs w:val="22"/>
        </w:rPr>
        <w:t>ello specifico per i bambini con disabilità uditive e visive, occorre in primo luogo ricorrere a stimoli di tipo tattile ed acustico, avendo cura di proporre gradualmente i giochi, spiegandone anche le tipologie per non causare reazioni di spavento e ansia nel bambino;</w:t>
      </w:r>
    </w:p>
    <w:p w:rsidR="00BD0FC6" w:rsidRPr="00BC45F2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Pr="00BC45F2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- che </w:t>
      </w:r>
      <w:r w:rsidRPr="00BC45F2">
        <w:rPr>
          <w:rFonts w:ascii="Century Gothic" w:hAnsi="Century Gothic" w:cs="Arial"/>
          <w:bCs/>
          <w:sz w:val="22"/>
          <w:szCs w:val="22"/>
        </w:rPr>
        <w:t>Il momento ludico del gioco, può essere occasione inclusiva per i soggetti con disabilità, in quanto l’attività può essere da stimolo per le proprie capacità e può facilitare la relazione con i gruppi dei pari;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-che l</w:t>
      </w:r>
      <w:r w:rsidRPr="00BC45F2">
        <w:rPr>
          <w:rFonts w:ascii="Century Gothic" w:hAnsi="Century Gothic" w:cs="Arial"/>
          <w:bCs/>
          <w:sz w:val="22"/>
          <w:szCs w:val="22"/>
        </w:rPr>
        <w:t>o scopo della creazione di parchi inclusivi per soggetti disabili è la socializzazione, la condivisione e l’inclusione, ma soprattutto l’estinzione di tutte le distanze e tutti i pregiudizi;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BC45F2">
        <w:rPr>
          <w:rFonts w:ascii="Century Gothic" w:hAnsi="Century Gothic" w:cs="Arial"/>
          <w:bCs/>
          <w:sz w:val="22"/>
          <w:szCs w:val="22"/>
        </w:rPr>
        <w:t>-</w:t>
      </w:r>
      <w:r>
        <w:rPr>
          <w:rFonts w:ascii="Century Gothic" w:hAnsi="Century Gothic" w:cs="Arial"/>
          <w:bCs/>
          <w:sz w:val="22"/>
          <w:szCs w:val="22"/>
        </w:rPr>
        <w:t xml:space="preserve"> che </w:t>
      </w:r>
      <w:bookmarkStart w:id="1" w:name="_GoBack"/>
      <w:bookmarkEnd w:id="1"/>
      <w:r w:rsidR="00D11345">
        <w:rPr>
          <w:rFonts w:ascii="Century Gothic" w:hAnsi="Century Gothic" w:cs="Arial"/>
          <w:bCs/>
          <w:sz w:val="22"/>
          <w:szCs w:val="22"/>
          <w:highlight w:val="yellow"/>
        </w:rPr>
        <w:t>è stato realizzato</w:t>
      </w:r>
      <w:r w:rsidRPr="00BD0FC6">
        <w:rPr>
          <w:rFonts w:ascii="Century Gothic" w:hAnsi="Century Gothic" w:cs="Arial"/>
          <w:bCs/>
          <w:sz w:val="22"/>
          <w:szCs w:val="22"/>
          <w:highlight w:val="yellow"/>
        </w:rPr>
        <w:t xml:space="preserve"> o è </w:t>
      </w:r>
      <w:r w:rsidR="00D11345">
        <w:rPr>
          <w:rFonts w:ascii="Century Gothic" w:hAnsi="Century Gothic" w:cs="Arial"/>
          <w:bCs/>
          <w:sz w:val="22"/>
          <w:szCs w:val="22"/>
          <w:highlight w:val="yellow"/>
        </w:rPr>
        <w:t>in fase di realizzazione</w:t>
      </w:r>
      <w:r w:rsidRPr="00BD0FC6">
        <w:rPr>
          <w:rFonts w:ascii="Century Gothic" w:hAnsi="Century Gothic" w:cs="Arial"/>
          <w:bCs/>
          <w:sz w:val="22"/>
          <w:szCs w:val="22"/>
          <w:highlight w:val="yellow"/>
        </w:rPr>
        <w:t xml:space="preserve"> un Parco Gioco Inclusivo;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DATO ATTO </w:t>
      </w:r>
      <w:r w:rsidRPr="00BD0FC6">
        <w:rPr>
          <w:rFonts w:ascii="Century Gothic" w:hAnsi="Century Gothic" w:cs="Arial"/>
          <w:bCs/>
          <w:sz w:val="22"/>
          <w:szCs w:val="22"/>
        </w:rPr>
        <w:t>che il Comune di Cavernago, unitamente all’Unione Ciechi ed Ipovedenti di Bergamo, all’Associazione Spazio Autismo di Bergamo e ai Lions Club di Romano di Lombardia</w:t>
      </w:r>
      <w:r w:rsidR="00D00C5B">
        <w:rPr>
          <w:rFonts w:ascii="Century Gothic" w:hAnsi="Century Gothic" w:cs="Arial"/>
          <w:bCs/>
          <w:sz w:val="22"/>
          <w:szCs w:val="22"/>
        </w:rPr>
        <w:t xml:space="preserve"> (BG)</w:t>
      </w:r>
      <w:r w:rsidRPr="00BD0FC6">
        <w:rPr>
          <w:rFonts w:ascii="Century Gothic" w:hAnsi="Century Gothic" w:cs="Arial"/>
          <w:bCs/>
          <w:sz w:val="22"/>
          <w:szCs w:val="22"/>
        </w:rPr>
        <w:t>, hanno promosso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la costituzione di una rete dei Parchi Giochi Inclusivi, coinvolgendo tutti i Comuni interessati dalla realizzazione di un parco giochi inclusivo sul proprio territorio;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BC45F2">
        <w:rPr>
          <w:rFonts w:ascii="Century Gothic" w:hAnsi="Century Gothic" w:cs="Arial"/>
          <w:b/>
          <w:bCs/>
          <w:sz w:val="22"/>
          <w:szCs w:val="22"/>
        </w:rPr>
        <w:t>DATO ATTO</w:t>
      </w:r>
      <w:r>
        <w:rPr>
          <w:rFonts w:ascii="Century Gothic" w:hAnsi="Century Gothic" w:cs="Arial"/>
          <w:bCs/>
          <w:sz w:val="22"/>
          <w:szCs w:val="22"/>
        </w:rPr>
        <w:t xml:space="preserve"> che scopo della costituzione della rete è promuovere l’integrazione e la connessione dei Parchi Giochi Inclusivi, pianificando eventi divulgativi e conoscitivi ed organizzando momenti di confronto, di studio e di gioco e quindi di coinvolgere tutti i parchi gioco inclusivi;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BC45F2">
        <w:rPr>
          <w:rFonts w:ascii="Century Gothic" w:hAnsi="Century Gothic" w:cs="Arial"/>
          <w:b/>
          <w:bCs/>
          <w:sz w:val="22"/>
          <w:szCs w:val="22"/>
        </w:rPr>
        <w:t>EVIDENZIATO</w:t>
      </w:r>
      <w:r>
        <w:rPr>
          <w:rFonts w:ascii="Century Gothic" w:hAnsi="Century Gothic" w:cs="Arial"/>
          <w:bCs/>
          <w:sz w:val="22"/>
          <w:szCs w:val="22"/>
        </w:rPr>
        <w:t xml:space="preserve"> che all’uopo è stato predisposto il protocollo d’intesa, allegato al presente atto quale parte integrante, finalizzato alla costituzione della rete in questione;</w:t>
      </w:r>
    </w:p>
    <w:p w:rsidR="00BD0FC6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Pr="007579AF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304126">
        <w:rPr>
          <w:rFonts w:ascii="Century Gothic" w:hAnsi="Century Gothic" w:cs="Arial"/>
          <w:b/>
          <w:bCs/>
          <w:sz w:val="22"/>
          <w:szCs w:val="22"/>
        </w:rPr>
        <w:t xml:space="preserve">RITENUTO </w:t>
      </w:r>
      <w:r w:rsidRPr="00304126">
        <w:rPr>
          <w:rFonts w:ascii="Century Gothic" w:hAnsi="Century Gothic" w:cs="Arial"/>
          <w:bCs/>
          <w:sz w:val="22"/>
          <w:szCs w:val="22"/>
        </w:rPr>
        <w:t xml:space="preserve">di </w:t>
      </w:r>
      <w:r>
        <w:rPr>
          <w:rFonts w:ascii="Century Gothic" w:hAnsi="Century Gothic" w:cs="Arial"/>
          <w:bCs/>
          <w:sz w:val="22"/>
          <w:szCs w:val="22"/>
        </w:rPr>
        <w:t>procedere alla relativa approvazione;</w:t>
      </w:r>
    </w:p>
    <w:p w:rsidR="00BD0FC6" w:rsidRPr="007579AF" w:rsidRDefault="00BD0FC6" w:rsidP="00BD0FC6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D0FC6" w:rsidRPr="007579AF" w:rsidRDefault="00BD0FC6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Style w:val="Nessuno"/>
          <w:rFonts w:ascii="Century Gothic" w:hAnsi="Century Gothic" w:cs="Tempus Sans ITC"/>
          <w:b/>
          <w:sz w:val="22"/>
          <w:szCs w:val="22"/>
          <w:lang w:eastAsia="it-IT"/>
        </w:rPr>
        <w:t>VISTO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 il parere favorevole in ordine alla regolarità tecnica ai sensi dell’art.49 c. 2 del D.L.gs. 267/2000 e </w:t>
      </w:r>
      <w:proofErr w:type="spellStart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s.m.i.</w:t>
      </w:r>
      <w:proofErr w:type="spellEnd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;</w:t>
      </w:r>
    </w:p>
    <w:p w:rsidR="00BD0FC6" w:rsidRPr="007579AF" w:rsidRDefault="00BD0FC6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</w:p>
    <w:p w:rsidR="00BD0FC6" w:rsidRDefault="00BD0FC6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Style w:val="Nessuno"/>
          <w:rFonts w:ascii="Century Gothic" w:hAnsi="Century Gothic" w:cs="Tempus Sans ITC"/>
          <w:b/>
          <w:sz w:val="22"/>
          <w:szCs w:val="22"/>
          <w:lang w:eastAsia="it-IT"/>
        </w:rPr>
        <w:t>VISTO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 circa la competenza dell’Organo Deliberante il combinato disposto dagli artt. 42 e 48 del D.L.gs. 267/2000 e </w:t>
      </w:r>
      <w:proofErr w:type="spellStart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s.m.i.</w:t>
      </w:r>
      <w:proofErr w:type="spellEnd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;</w:t>
      </w:r>
    </w:p>
    <w:p w:rsidR="00D11345" w:rsidRDefault="00D11345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</w:p>
    <w:p w:rsidR="00BD0FC6" w:rsidRDefault="00D11345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D11345">
        <w:rPr>
          <w:rStyle w:val="Nessuno"/>
          <w:rFonts w:ascii="Century Gothic" w:hAnsi="Century Gothic" w:cs="Tempus Sans ITC"/>
          <w:b/>
          <w:sz w:val="22"/>
          <w:szCs w:val="22"/>
          <w:lang w:eastAsia="it-IT"/>
        </w:rPr>
        <w:t>VISTO</w:t>
      </w:r>
      <w:r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 il D.L.gs. </w:t>
      </w:r>
      <w:r w:rsidR="00D2417E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18 agosto 2000 nr.267 “Testo unico delle leggi sull’ordinamento degli Enti Locali”;</w:t>
      </w:r>
    </w:p>
    <w:p w:rsidR="00D2417E" w:rsidRPr="007579AF" w:rsidRDefault="00D2417E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</w:p>
    <w:p w:rsidR="00BD0FC6" w:rsidRPr="007579AF" w:rsidRDefault="00BD0FC6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Con voti unanimi favorevoli espressi per alzata di mano;</w:t>
      </w:r>
    </w:p>
    <w:p w:rsidR="00BD0FC6" w:rsidRPr="007579AF" w:rsidRDefault="00BD0FC6" w:rsidP="00BD0FC6">
      <w:p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</w:p>
    <w:p w:rsidR="00BD0FC6" w:rsidRPr="007579AF" w:rsidRDefault="00BD0FC6" w:rsidP="00BD0FC6">
      <w:pPr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D0FC6" w:rsidRPr="007579AF" w:rsidRDefault="00BD0FC6" w:rsidP="00BD0FC6">
      <w:pPr>
        <w:keepNext/>
        <w:jc w:val="center"/>
        <w:outlineLvl w:val="4"/>
        <w:rPr>
          <w:rFonts w:ascii="Century Gothic" w:hAnsi="Century Gothic" w:cs="Arial"/>
          <w:b/>
          <w:sz w:val="22"/>
          <w:szCs w:val="22"/>
        </w:rPr>
      </w:pPr>
      <w:r w:rsidRPr="007579AF">
        <w:rPr>
          <w:rFonts w:ascii="Century Gothic" w:hAnsi="Century Gothic" w:cs="Arial"/>
          <w:b/>
          <w:sz w:val="22"/>
          <w:szCs w:val="22"/>
        </w:rPr>
        <w:t>D E L I B E R A</w:t>
      </w:r>
    </w:p>
    <w:p w:rsidR="00BD0FC6" w:rsidRPr="007579AF" w:rsidRDefault="00BD0FC6" w:rsidP="00BD0FC6">
      <w:pPr>
        <w:ind w:firstLine="708"/>
        <w:jc w:val="both"/>
        <w:rPr>
          <w:rFonts w:ascii="Century Gothic" w:hAnsi="Century Gothic" w:cs="Arial"/>
          <w:b/>
          <w:sz w:val="22"/>
          <w:szCs w:val="22"/>
        </w:rPr>
      </w:pPr>
    </w:p>
    <w:p w:rsidR="00BD0FC6" w:rsidRPr="007579AF" w:rsidRDefault="00BD0FC6" w:rsidP="00BD0FC6">
      <w:pPr>
        <w:numPr>
          <w:ilvl w:val="0"/>
          <w:numId w:val="1"/>
        </w:num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Fonts w:ascii="Century Gothic" w:hAnsi="Century Gothic" w:cs="Arial"/>
          <w:b/>
          <w:sz w:val="22"/>
          <w:szCs w:val="22"/>
        </w:rPr>
        <w:t>Di approvare</w:t>
      </w:r>
      <w:r w:rsidRPr="007579AF">
        <w:rPr>
          <w:rFonts w:ascii="Century Gothic" w:hAnsi="Century Gothic" w:cs="Arial"/>
          <w:sz w:val="22"/>
          <w:szCs w:val="22"/>
        </w:rPr>
        <w:t xml:space="preserve">, 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il protocollo d’intesa finalizzato alla </w:t>
      </w:r>
      <w:r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costituzione di una rete dei parchi giochi inclusivi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, allegato al presente atto quale parte integrante;</w:t>
      </w:r>
    </w:p>
    <w:p w:rsidR="00BD0FC6" w:rsidRPr="007579AF" w:rsidRDefault="00BD0FC6" w:rsidP="00BD0FC6">
      <w:pPr>
        <w:ind w:left="720"/>
        <w:jc w:val="both"/>
        <w:rPr>
          <w:rFonts w:ascii="Century Gothic" w:hAnsi="Century Gothic" w:cs="Arial"/>
          <w:bCs/>
          <w:sz w:val="22"/>
          <w:szCs w:val="22"/>
        </w:rPr>
      </w:pPr>
    </w:p>
    <w:p w:rsidR="00BD0FC6" w:rsidRPr="007579AF" w:rsidRDefault="00BD0FC6" w:rsidP="00BD0FC6">
      <w:pPr>
        <w:numPr>
          <w:ilvl w:val="0"/>
          <w:numId w:val="1"/>
        </w:num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Fonts w:ascii="Century Gothic" w:hAnsi="Century Gothic" w:cs="Arial"/>
          <w:b/>
          <w:sz w:val="22"/>
          <w:szCs w:val="22"/>
        </w:rPr>
        <w:t>Di istituire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, la rete denominata “</w:t>
      </w:r>
      <w:r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Parchi giochi inclusivi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”;</w:t>
      </w:r>
    </w:p>
    <w:p w:rsidR="00BD0FC6" w:rsidRPr="007579AF" w:rsidRDefault="00BD0FC6" w:rsidP="00BD0FC6">
      <w:pPr>
        <w:ind w:left="720"/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</w:p>
    <w:p w:rsidR="00BD0FC6" w:rsidRPr="00304126" w:rsidRDefault="00BD0FC6" w:rsidP="00BD0FC6">
      <w:pPr>
        <w:numPr>
          <w:ilvl w:val="0"/>
          <w:numId w:val="1"/>
        </w:numPr>
        <w:jc w:val="both"/>
        <w:rPr>
          <w:rStyle w:val="Nessuno"/>
          <w:rFonts w:ascii="Century Gothic" w:hAnsi="Century Gothic" w:cs="Arial"/>
          <w:bCs/>
          <w:sz w:val="22"/>
          <w:szCs w:val="22"/>
          <w:lang w:eastAsia="it-IT"/>
        </w:rPr>
      </w:pPr>
      <w:r w:rsidRPr="007579AF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trasmettere </w:t>
      </w:r>
      <w:r>
        <w:rPr>
          <w:rFonts w:ascii="Century Gothic" w:hAnsi="Century Gothic" w:cs="Arial"/>
          <w:bCs/>
          <w:sz w:val="22"/>
          <w:szCs w:val="22"/>
        </w:rPr>
        <w:t>copia del presente provvedimento al Comune di Cavernago</w:t>
      </w:r>
      <w:r w:rsidRPr="00304126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;</w:t>
      </w:r>
    </w:p>
    <w:p w:rsidR="00BD0FC6" w:rsidRPr="007579AF" w:rsidRDefault="00BD0FC6" w:rsidP="00BD0FC6">
      <w:pPr>
        <w:ind w:left="720"/>
        <w:jc w:val="both"/>
        <w:rPr>
          <w:rFonts w:ascii="Century Gothic" w:hAnsi="Century Gothic"/>
          <w:sz w:val="22"/>
          <w:szCs w:val="22"/>
        </w:rPr>
      </w:pPr>
    </w:p>
    <w:p w:rsidR="00BD0FC6" w:rsidRPr="007579AF" w:rsidRDefault="00BD0FC6" w:rsidP="00BD0FC6">
      <w:pPr>
        <w:numPr>
          <w:ilvl w:val="0"/>
          <w:numId w:val="1"/>
        </w:numPr>
        <w:jc w:val="both"/>
        <w:rPr>
          <w:rStyle w:val="Nessuno"/>
          <w:rFonts w:ascii="Century Gothic" w:hAnsi="Century Gothic" w:cs="Tempus Sans ITC"/>
          <w:sz w:val="22"/>
          <w:szCs w:val="22"/>
          <w:lang w:eastAsia="it-IT"/>
        </w:rPr>
      </w:pPr>
      <w:r w:rsidRPr="007579AF">
        <w:rPr>
          <w:rFonts w:ascii="Century Gothic" w:hAnsi="Century Gothic" w:cs="Arial"/>
          <w:b/>
          <w:sz w:val="22"/>
          <w:szCs w:val="22"/>
        </w:rPr>
        <w:t>Di dichiarare</w:t>
      </w:r>
      <w:r w:rsidRPr="007579AF">
        <w:rPr>
          <w:rFonts w:ascii="Century Gothic" w:hAnsi="Century Gothic" w:cs="Arial"/>
          <w:sz w:val="22"/>
          <w:szCs w:val="22"/>
        </w:rPr>
        <w:t xml:space="preserve">, 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con voti unanimi favorevoli espressi per alzata di</w:t>
      </w:r>
      <w:r w:rsidR="00D11345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 </w:t>
      </w:r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mano, la presente deliberazione immediatamente esecutiva ai sensi dell’art.134, comma 4, del </w:t>
      </w:r>
      <w:proofErr w:type="spellStart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>D.Lgs.</w:t>
      </w:r>
      <w:proofErr w:type="spellEnd"/>
      <w:r w:rsidRPr="007579AF">
        <w:rPr>
          <w:rStyle w:val="Nessuno"/>
          <w:rFonts w:ascii="Century Gothic" w:hAnsi="Century Gothic" w:cs="Tempus Sans ITC"/>
          <w:sz w:val="22"/>
          <w:szCs w:val="22"/>
          <w:lang w:eastAsia="it-IT"/>
        </w:rPr>
        <w:t xml:space="preserve"> n. 267/00.</w:t>
      </w:r>
    </w:p>
    <w:p w:rsidR="00EF14FC" w:rsidRDefault="00EF14FC"/>
    <w:sectPr w:rsidR="00EF14F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2AB"/>
    <w:multiLevelType w:val="hybridMultilevel"/>
    <w:tmpl w:val="39FA9CC6"/>
    <w:lvl w:ilvl="0" w:tplc="A71C6A7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4F60"/>
    <w:multiLevelType w:val="hybridMultilevel"/>
    <w:tmpl w:val="1352925E"/>
    <w:lvl w:ilvl="0" w:tplc="84A426B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5713"/>
    <w:multiLevelType w:val="hybridMultilevel"/>
    <w:tmpl w:val="4A3AEBCE"/>
    <w:lvl w:ilvl="0" w:tplc="715447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6"/>
    <w:rsid w:val="000165AF"/>
    <w:rsid w:val="0093344E"/>
    <w:rsid w:val="00BD0FC6"/>
    <w:rsid w:val="00D00C5B"/>
    <w:rsid w:val="00D11345"/>
    <w:rsid w:val="00D2417E"/>
    <w:rsid w:val="00EB3B8E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C144"/>
  <w15:chartTrackingRefBased/>
  <w15:docId w15:val="{6B96717B-1E47-48FE-AEAE-55BED6DE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0F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FC6"/>
    <w:pPr>
      <w:ind w:left="708"/>
    </w:pPr>
  </w:style>
  <w:style w:type="character" w:customStyle="1" w:styleId="Nessuno">
    <w:name w:val="Nessuno"/>
    <w:rsid w:val="00BD0FC6"/>
    <w:rPr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dcterms:created xsi:type="dcterms:W3CDTF">2021-03-09T10:26:00Z</dcterms:created>
  <dcterms:modified xsi:type="dcterms:W3CDTF">2021-10-05T07:01:00Z</dcterms:modified>
</cp:coreProperties>
</file>